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allocates funds for contractual services, textbooks, supplies, and materials on a per-pupil cost basis using the enrollment in each school at that time. Allocation for Fine Art Programs are also based on the number of students in each school. Staff for  Music and Athletic Programs are assigned based on the number of students in each building. 
</w:t>
      </w:r>
    </w:p>
    <w:p>
      <w:pPr>
        <w:ind w:left="720"/>
      </w:pPr>
      <w:r>
        <w:rPr>
          <w:rFonts w:ascii="Garamond" w:hAnsi="Garamond"/>
        </w:rPr>
        <w:t>Elementary school personnel are assigned based on the number of students in each building. Middle and High School personnel are assigned based on the number of students who enroll in each course. As noted in the data there are three elementary schools, one middle and one high school.
</w:t>
      </w:r>
    </w:p>
    <w:p>
      <w:pPr>
        <w:ind w:left="720"/>
      </w:pPr>
      <w:r>
        <w:rPr>
          <w:rFonts w:ascii="Garamond" w:hAnsi="Garamond"/>
        </w:rPr>
        <w:t>Employee benefits are calculated for each employee and are based on their collective bargaining agreements (cba) as well as the options they select within their respective benefit package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Sea Cliff School has the lowest enrollment. It also houses some of the district's ILC students ( Independent Learning Classrooms).  The ILC classes are co-taught and so the student to teacher ratios are low. These students also received one to one aide as well as several special education-related services.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