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of Schools and facilitated by the Assistant Superintendent for Business and Operations. It starts behind the scenes in October and continues through budget adoption by the Board of Education in April. The aim is to develop a budget that will support the district’s Strategic Action Plan that focuses on raising student achievement. Formulas are used to allocate funds to individual schools for materials and supplies, as well as textbooks. These allocations are made on a per student basis, with the amount per student being increased for secondary students over elementary students, due to secondary programs being more costly. Individual staff members work with their building administrators to direct these allocations to best meet the needs of the students in the buildings. Staffing for all areas is zero based, with the superintendent and his/her administrative council making final recommendations to the Board of Education. It is the duty of all administrators and department heads to look for potential savings, while ensuring that their individual budgets provide for the resources necessary to support the district’s Strategic Action Plan.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