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Administrator and lasts from December until approval by the Board of Education.  Input is taken from a variety of stakeholders to determine the level of student need.  Specifically, building principals, district level administrators and the Board of Education all identify areas of student need within their buildings and/or school sites.  
</w:t>
      </w:r>
    </w:p>
    <w:p>
      <w:pPr>
        <w:ind w:left="720"/>
      </w:pPr>
      <w:r>
        <w:rPr>
          <w:rFonts w:ascii="Garamond" w:hAnsi="Garamond"/>
        </w:rPr>
        <w:t>
</w:t>
      </w:r>
    </w:p>
    <w:p>
      <w:pPr>
        <w:ind w:left="720"/>
      </w:pPr>
      <w:r>
        <w:rPr>
          <w:rFonts w:ascii="Garamond" w:hAnsi="Garamond"/>
        </w:rPr>
        <w:t>No formula is used to allocate funds to individual schools.  The only exception is mandated grants, such as Pre-K, which only applies to our Elementary School due to the age of the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smaller district, one or two unique cases can cause large shifts in spending.  As families move in and out, depending on the needs of students in these families, our spending will adjust dramatically to meet the needs of those students.  In particular, we have a few families whose students require a unique level of special education support, which comes with a expenditure amount.  As these numbers change from year to year in each building, they are not consistent and can cause change to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