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Superintendent and Business Administrator lead budget development process.  Students needs are accessed and reviewed by district wide leadership team.  Budget development process usually begins in January with a budget development calendar approved by the board of education and lasts till May budget vote.   
</w:t>
      </w:r>
    </w:p>
    <w:p>
      <w:pPr>
        <w:ind w:left="720"/>
      </w:pPr>
      <w:r>
        <w:rPr>
          <w:rFonts w:ascii="Garamond" w:hAnsi="Garamond"/>
        </w:rPr>
        <w:t>B. Districtwide leadership team including Superintendent, Business Administrator, Building Principals, Special Ed Director, Facilities Director and Transportation Supervisor are all involved in budget development process.  Building principals meet with faculty and staff to determine building level needs.  Budget development is reviewed and discussed at each board meeting (twice a month) from late January through May.
</w:t>
      </w:r>
    </w:p>
    <w:p>
      <w:pPr>
        <w:ind w:left="720"/>
      </w:pPr>
      <w:r>
        <w:rPr>
          <w:rFonts w:ascii="Garamond" w:hAnsi="Garamond"/>
        </w:rPr>
        <w:t>C. The district uses zero-based budgeting method to allocate funds for teaching supplies and contractual expense.  Student needs are assessed by teachers and reviewed by building principals before the allocation is finalized.  Staffing and personnel cost are also determined by students enrollment and needs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