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New Hartford Central School District’s approach to allocation of funding for each school building is based on student enrollment and specialized programs within the specific buildings.  This is supported during the budget development process involving multiple constituents.  The Board of Education and Administration work collaboratively throughout the school year to develop a fair and equitable budget that provides for the needs of all students while maintaining fiscal responsibility.  Class sizes have been kept at traditional levels to promote quality instruction and are determined by Board Policy based on the range and number of students per grade level.  Special Education needs are determined by each student’s individual educational plan vetted through the District’s Committee on Special Education.  Expenses associated with these needs are then allocated to the building that the child is being served. Our District provides a standardized, district-wide guaranteed and viable curriculum that supports all learners K-12.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Myles Elementary School has the lowest enrollment of the three elementary schools and the highest percentage of students that qualify for Free and Reduced Price Lunch. In addition, it houses the only ENL program and the only 12:1:1 program for all District students in grades K-6. The district-wide 12:1:4 Developmental Program for students K-6 is based out of Bradley Elementary School. All of these factors contribute to higher than average pupil spending in those buildings. Federal/State Grant monies are allocated to the buildings that serve the population covered under the specific grant. For example, Title 1 Part A grant monies are allocated according to the staffing that supports the student needs at each of the three buildings that qualify based on FRPL. It provides academic support at Myles Elementary School, Perry Jr. High School, and the New Hartford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