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New Hartford Central School District’s approach to allocation of funding for each school building is based on student enrollment and specialized programs within the specific buildings.  This is supported during the budget development process involving multiple constituents.  The Board of Education and Administration work collaboratively throughout the school year to develop a fair and equitable budget that provides for the needs of all students while maintaining fiscal responsibility.  Class sizes have been kept at traditional levels to promote quality instruction and are determined by Board Policy based on the range and number of students per grade level.  Special Education needs are determined by each student’s individual educational plan vetted through the District’s Committee on Special Education.  Expenses associated with these needs are then allocated to the building that the child is being served. Our District provides a standardized, district-wide guaranteed and viable curriculum that supports all learners K-12.</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Myles Elementary School has the lowest enrollment of the three elementary schools and the highest percentage of students that qualify for Free and Reduced Price Lunch. In addition, it houses the only ENL program and the only 12:1:1 program for all District students in grades K-6. The district-wide 12:1:4 Developmental Program for students K-6 is based out of Bradley Elementary School. All of these factors contribute to higher than average pupil spending in those buildings. Federal/State Grant monies are allocated to the buildings that serve the population covered under the specific grant. For example, Title 1 Part A grant monies are allocated according to the staffing that supports the student needs at each of the three buildings that qualify based on FRPL. It provides academic support at Myles Elementary School, Perry Jr. High School, and the New Hartford High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