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We are two school buildings PK-6 and 7-12 on the same property.  The Superintendent leads the budget development process in this small school district, with input from building leaders and facilities/transportation directors.  The budget is compared to previous years' allocations.  The process initiates in January and completes with the board of education approval to take the budget to the voters.  Student needs are communicated primarily through 12 department chairpersons who collect data from their departments.  The district does not utilize a formula for allocation.  The school board has a budget committee that meets several times with district administration to provide community input.  Public discussion is held over the curse of several board of education meetings to ensure transparency.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budget is based on need.</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