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Business Administrator for the District. The Business Administrator works with Principals and Stake Holders to put together a fair and equitable budget that supports the Morrisville-Eaton Central School District. Principals receive supply and material budget requests from teachers in January and early February. Those amounts are submitted to the district office for review by mid-February.  The building budget begins with the previous year’s allocation and then is increased/decreased depending on the number of students and aid allocation.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school has 20 more students with disabilities than the middle/high school.  Also, the elementary has a Universal Pre-K program in the building which has 18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applied for the Federal CRRSA and ARPA funding.  The 21-22 fiscal year funding was included in the NYS Transparency report allocated based on the projected use of the funds. These are resources to addresses the impacts of the COVID-19 pandemic on students, including the impacts of interrupted instruction and learning loss for all learners including the impacts on low-income students, children with disabilities, English language learners, and students experiencing homelessness. These funds will help instructional staff identify gaps in student learning and support staff to address these areas for targeted students. The funding allows the District to maintain current staffing levels that were at risk of being reduced. The funding will also provide principals the resources necessary to address the needs of their individual schools and students. Additional resources to support students who have learning gaps.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