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Business Administrator for the District. The Business Administrator works with Principals and Stake Holders to put together a fair and equitable budget that supports the Morrisville-Eaton Central School District. Principals receive supply and material budget requests from teachers in January and early February. Those amounts are submitted to the district office for review by mid-February.  The building budget begins with the previous year’s allocation and then is increased/decreased depending on the number of students and aid allocation.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elementary school has 20 more students with disabilities than the middle/high school.  Also, the elementary has a Universal Pre-K program in the building which has 18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applied for the Federal CRRSA and ARPA funding.  The 21-22 fiscal year funding was included in the NYS Transparency report allocated based on the projected use of the funds. These are resources to addresses the impacts of the COVID-19 pandemic on students, including the impacts of interrupted instruction and learning loss for all learners including the impacts on low-income students, children with disabilities, English language learners, and students experiencing homelessness. These funds will help instructional staff identify gaps in student learning and support staff to address these areas for targeted students. The funding allows the District to maintain current staffing levels that were at risk of being reduced. The funding will also provide principals the resources necessary to address the needs of their individual schools and students. Additional resources to support students who have learning gaps.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