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We are a PreK-8th single schoolhouse, so our funding is allocated to the whole building. The roles of stakeholders are the Superintendent, Business Official, the Board of Education and the community. N/A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