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ddletown City School District approach to budgeting is straight forward and lengthy process.  Our first and utmost priority is the high needs scholars that we educate.  Middletown has a high Free and reduced, ELL and SWD population. The budget process starts in October with meetings with each building and department administrators determining needs.  Once the meetings are concluded a budget for each building and department is generated.  We use enrollment to help drive funding for each building for staffing, supplies and equipment. Using the state aid allotments for each scholar for equipment and library and textbooks.  The Collective Bargaining Agreements are completed, there is no option other than to adhere to the contractual amounts.  We examine all the benefits for staff.  Middletown is a self-funded health plan which with more latitude for health cost calculations.  After all the data is collected and a budget is compiled several meetings with the Superintendent occurs.  Some final discussion are made based on programming and District needs.  In January, the budget meeting begin with the board of education and community outlining the budget needs.  There are several meetings presenting the expenditures and revenu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iddletown has several programs that reside in specific buildings.  For example, we have one building that has more inclusion classes.  Other buildings have mastery, mid-point and 2-year Kindergarten programs that would significantly show discrepancies.  Also, each building occupancy is dramatically different, which in turn means staffing levels and budget needs are differ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