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both the Superintendent and Assistant Superintendent for Business.  The Board of Education and community are continuously updated throughout the process by way of budget workshops.  Student needs are monitored throughout the year by district leadership.  Regular communications take place between central office leadership and the principals, special education director, as well as other district leaders.  Based on these understandings, the budget is built from the bottom up.  Budget development begins in late November and continues until a budget is passed, which is typically in May.
</w:t>
      </w:r>
    </w:p>
    <w:p>
      <w:pPr>
        <w:ind w:left="720"/>
      </w:pPr>
      <w:r>
        <w:rPr>
          <w:rFonts w:ascii="Garamond" w:hAnsi="Garamond"/>
        </w:rPr>
        <w:t>
</w:t>
      </w:r>
    </w:p>
    <w:p>
      <w:pPr>
        <w:ind w:left="720"/>
      </w:pPr>
      <w:r>
        <w:rPr>
          <w:rFonts w:ascii="Garamond" w:hAnsi="Garamond"/>
        </w:rPr>
        <w:t>District employees involved in the budget development process include, but are not limited to the Superintendent, Assistant Superintendent for Business, Assistant Superintendent for Instruction, Director of Student Services, principals, Director of Facilities, and the Board of Education.  The Board attends the budget workshops and provides input along the way, which may effectuate necessary modifications.  The building principals represent the needs of their respective buildings; the Director of Student Services weighs in on students districtwide.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the District aims to allocate funds proportionately across the school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noted.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