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the
</w:t>
      </w:r>
    </w:p>
    <w:p>
      <w:pPr>
        <w:ind w:left="720"/>
      </w:pPr>
      <w:r>
        <w:rPr>
          <w:rFonts w:ascii="Garamond" w:hAnsi="Garamond"/>
        </w:rPr>
        <w:t>Superintendent of Schools. The budget development begins in November and ends with the Board of Education adoption of the budget in April followed by the school budget vote by the eligible voters of the District in May. Budget development is a collaborative project with each administrator developing their own program budget. In doing so, principals consult with instructional staff as necessary to best address student, classroom, and programmatic needs. Portions of the budget are presented to the Board of Education at their meetings, starting in January.  School Board members provide feedback and questions during these presentations. The district does not utilize a formula to allocate funds to individual schools. Instead, funding amounts are allocated based on the specific needs of each school or department as communicated by the building principal or supervising administrator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is common for Middle/High School spending to exceed Elementary spending due to the number of electives provided at the high school level, as well as BOCES costs for students who attend out of district programs, such as CTE programs, alternative school,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