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planning and monitoring are year-round duties of the Board of Education, Budget Committee, and administration. The responsibility for developing and managing the budget fall within the duties of the superintendent and school business official with guidance from the Board of Education. The Board of Education creates the plans, set the goals and priorities, and adopt the appropriations for everything in the schools, departments, and District Office. The Board of Education tasked the Budget Committee with direct responsibilities for reviewing the annual budget, funding request matters, revenues and expenditures, and for providing recommendations to the Board of Education and administration. The Board of Education recognizes every stakeholder by having public meetings, open public comments, and public financial presentations concerning the District’s budget information and operations. To ensure transparency and accountability, the Board of Education and the Budget Committee review the administration/general support budget and schools/programs budget separately with the community, staff, and administration. 
</w:t>
      </w:r>
    </w:p>
    <w:p>
      <w:pPr>
        <w:ind w:left="720"/>
      </w:pPr>
      <w:r>
        <w:rPr>
          <w:rFonts w:ascii="Garamond" w:hAnsi="Garamond"/>
        </w:rPr>
        <w:t>
</w:t>
      </w:r>
    </w:p>
    <w:p>
      <w:pPr>
        <w:ind w:left="720"/>
      </w:pPr>
      <w:r>
        <w:rPr>
          <w:rFonts w:ascii="Garamond" w:hAnsi="Garamond"/>
        </w:rPr>
        <w:t>Typically by January each school principal, department director, and District Office administrator are responsible for providing budget proposals that are student-centered to address resources that are needed in the schools and classrooms and operations of the District. The student council regularly meet with the superintendent and have an opportunity to attend meetings with the Board of Education. The Board of Education makes the final decisions on the level of appropriations for the administration/general support budget and the schools/programs budget. 
</w:t>
      </w:r>
    </w:p>
    <w:p>
      <w:pPr>
        <w:ind w:left="720"/>
      </w:pPr>
      <w:r>
        <w:rPr>
          <w:rFonts w:ascii="Garamond" w:hAnsi="Garamond"/>
        </w:rPr>
        <w:t>
</w:t>
      </w:r>
    </w:p>
    <w:p>
      <w:pPr>
        <w:ind w:left="720"/>
      </w:pPr>
      <w:r>
        <w:rPr>
          <w:rFonts w:ascii="Garamond" w:hAnsi="Garamond"/>
        </w:rPr>
        <w:t>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More than 70% of the students are living in household under the 2021 federal poverty level (FPL) income numbers. The accountability system classified the high school as a Targeted Support and Improvement (TSI) school that need additional resources to support groups of students who are struggling academically. The elementary school has more students and staff than the other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