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for both the general fund and the ESSA grants are led by the central office business staff, primarily by the Treasurer, the Superintendent and Coordinator of Federal Funds. The needs of the students are translated into the budget through a collaborative approach with the school administration (Principal, Department Heads and Committee Chairs). These budget development conversations begin in December and follows the budget calendar timeline. The school board members are made aware of  program requests and budget needs, and public input is solicited at board meetings. The district aligns its process with an approved budget calendar that concludes with the public vote on the budget and the creation of the annual Title I School -Wide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Kiryas Joel Union Free School District is comprised of one (1) Public School building that services classified students of special education for students in Ungraded Elementary and Ungraded Secondary, as well as one (1) publicly funded Pre School and Kindergarten program serving students age 3 to 7 years old. The school provides supplemental services through Title I funding.  There is no formula or approach used to allocate funds to “each school” as the program and services to these students are mandated by their IEPs.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