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both the general fund and the ESSA grants are led by the central office business staff, primarily by the Treasurer, the Superintendent and Coordinator of Federal Funds. The needs of the students are translated into the budget through a collaborative approach with the school administration (Principal, Department Heads and Committee Chairs). These budget development conversations begin in December and follows the budget calendar timeline. The school board members are made aware of  program requests and budget needs, and public input is solicited at board meetings. The district aligns its process with an approved budget calendar that concludes with the public vote on the budget and the creation of the annual Title I School -Wide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Kiryas Joel Union Free School District is comprised of one (1) Public School building that services classified students of special education for students in Ungraded Elementary and Ungraded Secondary, as well as one (1) publicly funded Pre School and Kindergarten program serving students age 3 to 7 years old. The school provides supplemental services through Title I funding.  There is no formula or approach used to allocate funds to “each school” as the program and services to these students are mandated by their IEPs.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