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Funding for contractual services, textbooks, supplies and materials, equipment, BOCES services, administrative expenses, and other district wide codes are budgeted using estimated expenses and prior year actuals. With respect to salary and benefits, which account for the largest share of expenses, we allocate staffing FTEs based upon enrollment and strict adherence to our class size maximums. Our class size maximums are typically 23 at K-5 level and 25 in grades 6-12. That is one of the highest priorities in determining general education staffing levels for each of our schools. 
</w:t>
      </w:r>
    </w:p>
    <w:p>
      <w:pPr>
        <w:ind w:left="720"/>
      </w:pPr>
      <w:r>
        <w:rPr>
          <w:rFonts w:ascii="Garamond" w:hAnsi="Garamond"/>
        </w:rPr>
        <w:t>
</w:t>
      </w:r>
    </w:p>
    <w:p>
      <w:pPr>
        <w:ind w:left="720"/>
      </w:pPr>
      <w:r>
        <w:rPr>
          <w:rFonts w:ascii="Garamond" w:hAnsi="Garamond"/>
        </w:rPr>
        <w:t>Another significant priority in determining staffing at the building level would be the individual special needs of our students. For example, Jackson, our largest enrollment elementary school, houses 2 out of 4 of our elementary small class self contained program for our entire elementary school-aged community. Additionally, we have a district-wide co-teaching program that services many of our special need students. This program class consists of a general education teacher, a special education co-teacher, and aides depending upon the needs of the students within the class. An example of an elementary co-teaching class may look like 16 general education students along with 6 special needs students. Currently, our smallest total enrolling elementary school, Seaman Elementary, has (3) co-teaching classrooms as compared to Cantiague (2) and Jackson Schools (4). This play a significant role in the "per-student" allotment as reflected in this report. 
</w:t>
      </w:r>
    </w:p>
    <w:p>
      <w:pPr>
        <w:ind w:left="720"/>
      </w:pPr>
      <w:r>
        <w:rPr>
          <w:rFonts w:ascii="Garamond" w:hAnsi="Garamond"/>
        </w:rPr>
        <w:t>
</w:t>
      </w:r>
    </w:p>
    <w:p>
      <w:pPr>
        <w:ind w:left="720"/>
      </w:pPr>
      <w:r>
        <w:rPr>
          <w:rFonts w:ascii="Garamond" w:hAnsi="Garamond"/>
        </w:rPr>
        <w:t>Co-curricular, transportation, facilities, personnel, Board of Ed, and curriculum and instruction are all budgeted by the respective administrator in charge, based on a review of projected expenses/needs in conjunction with building level administrators, and three years of prior actual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Seaman elementary school is unique in that it houses only 262 students, whereas the Cantiague Elementary school houses 370 students, and the Jackson Elementary school which houses 507 students. Additionally, the Jackson Elementary school currently houses our small special need classes, 2 in total. Also, Seaman Elementary School has 4 co-teaching classes with on 262 total students which Jackson has 4 co-teaching classes and Cantiague only have 2 co-teaching classes yet they have 507 and 370 respectively. Finally, the number of students that are pulled out for reading services is higher at Seaman than at Jackson or Cantiague.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