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meets with all budget makers from November through February to define their needs for the coming school year both in regards to staffing and non-staffing areas. From these meetings, the budget is built to accommodate these identified needs to the extent possible within the constraints of available revenue sources. Each school and department makes a presentation to the board of education from October through March so that there is transparency among all stakeholders. There are many public meetings once the budget has been adopted by the board of education both with PTAs and community groups.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recognizes that two of our eight elementary schools appear to have excess funding above the district average. However, these two schools have the district’s highest free and reduced-price lunch percentages by far, as well as high counts of students with disabilities. In keeping with the district’s vision to strive to engage all students in the importance and relevance of thinking; to educate every learner to communicate, comprehend, and collaborate for understanding; and to empower all in the ICSD to achieve academic excellence, these additional resources at our most vulnerable schools is warranted.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