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executive team of the district meets with all budget makers from November through February to define their needs for the coming school year both in regards to staffing and non-staffing areas. From these meetings, the budget is built to accommodate these identified needs to the extent possible within the constraints of available revenue sources. Each school and department makes a presentation to the board of education from October through March so that there is transparency among all stakeholders. There are many public meetings once the budget has been adopted by the board of education both with PTAs and community groups. The only truly formulaic process used is for the categories of NY State materials aids (textbooks, library book, hardware, and software) which is based on the state per-pupil amount multiplied by the projected enrollment for each school.  These materials aids are a very small and insignificant por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recognizes that two of our eight elementary schools appear to have excess funding above the district average. However, these two schools have the district’s highest free and reduced-price lunch percentages by far, as well as high counts of students with disabilities. In keeping with the district’s vision to strive to engage all students in the importance and relevance of thinking; to educate every learner to communicate, comprehend, and collaborate for understanding; and to empower all in the ICSD to achieve academic excellence, these additional resources at our most vulnerable schools is warrant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