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Our budget cycle begins in the November time-frame and is led by the Business Manager.  This is a collaborative process where all building administration (Principals and Asst Principals) and department heads are given the opportunity to request resources they believe they need for their students, teachers, staff and areas.  We use the previous FY as a baseline and make additional requests or contractions in funding from that point.  These requests go through a review process within the District Office (Business Manager, Superintendent, Asst Superintendent, HR Asst Superintendent and Curriculum Director) and are finally presented to the Board of Education through meetings from December through April.  The District's Strategic Plan, Projected enrollment, policies regarding students/classroom and students/bus, state mandates, state and federal funding, physical plant concerns/needs, curriculum adjustments, etc. are taken into consideration.  District personnel review all budgets with this lens.  Not only are the final recommendations presented to the BOE but also requests that are not recommended.
</w:t>
      </w:r>
    </w:p>
    <w:p>
      <w:pPr>
        <w:ind w:left="720"/>
      </w:pPr>
      <w:r>
        <w:rPr>
          <w:rFonts w:ascii="Garamond" w:hAnsi="Garamond"/>
        </w:rPr>
        <w:t>Each admin/department head has the opportunity to advocate for funding they believe is needed.  After this process, a complete draft budget is created and presented to the Board of Education.  It may go through several drafts weighing not only the considerations mentioned above but also total expenditures year over year, the tax levy, tax cap implications, etc. until a final budget is agreed upon and approved by the BOE.  There are no formal allocations per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schools are distributed throughout our 284 square mile district.  There is a large variance in enrollment between schools based on the geographic area making some schools more efficient than others.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About 60% of our student body is military connected with significant mobility.  This makes it very difficult to plan year over year or have consistent expenses year over year in regards to special needs and numbers of classrooms/building.  There can be large swings that do not trend but that we review as we plan for the upcoming year.
</w:t>
      </w:r>
    </w:p>
    <w:p>
      <w:pPr>
        <w:ind w:left="720"/>
      </w:pPr>
      <w:r>
        <w:rPr>
          <w:rFonts w:ascii="Garamond" w:hAnsi="Garamond"/>
        </w:rPr>
        <w:t>Our BOCES billing information is not provided by location and thus a large amount of that significant expenditure is allocated as best we can.  In addition we buy in bulk for many items at the district level and do our best to allocate per building.  We have many staff members that move from building to building and while we try to allocate appropriately to buildings this again is difficult and can shift with our changing student body.</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