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ile the district only has one building, many stakeholders play a role in our budget development process.  While the business administrator organizes much of the budget development process, the budget is lead by the board of education and begins with  a review of staffing needs, debt service obligations and benefits projections at their December meeting.  This process continues into January when the support services budget is presented. Revenues are reviewed in February and the overall instructional budget is presented in March.  Prior to the March presentation much time by administrators and teachers reviewing student needs.  Student needs are discussed by Professional Learning Community leaders.  Our leaders include two teachers representing PK-2, two representing 3-6 and two representing 7-12.  Special area teachers are represented and included in the PK-2 and 3-6 grad PLCs to provide student need feedback.  As previously mentioned, the district has one building so there is no formula needed to allocate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