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building principals, director of student programs and athletic director begin to develop their building/program needs for the following year in November.  While no formula is used for distributing funds district wide, the district analyzes the final budget for equity annually. Building and program leaders, work with their instructional and support staff to develop building level needs for the student programs at their buildings for the following year. These needs and requests are reviewed by the Board of Education in December and January.  The district develops a tentative budget for the following year in January and February.  The budget is reviewed at public meetings in February, March and April, where public comment and input is sought. The district  discusses the budget staffing implications with bargaining units in January and April.  A budget hearing is conducted for the public, where a line by line appropriations for the following years budget is available to all to review and comment on prior to vote, generally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Since the district is composed of only having one Elementary and one High school, the primary driver of differences in per pupil spending is driven differences between Elementary and High school needs. The difference for our district is marginal with the High school spending $22,785 per student and the Elementary spending $21,163 per student a difference of $1,622 per student per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