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building principals, director of student programs and athletic director begin to develop their building/program needs for the following year in November.  While no formula is used for distributing funds district wide, the district analyzes the final budget for equity annually. Building and program leaders, work with their instructional and support staff to develop building level needs for the student programs at their buildings for the following year. These needs and requests are reviewed by the Board of Education in December and January.  The district develops a tentative budget for the following year in January and February.  The budget is reviewed at public meetings in February, March and April, where public comment and input is sought. The district  discusses the budget staffing implications with bargaining units in January and April.  A budget hearing is conducted for the public, where a line by line appropriations for the following years budget is available to all to review and comment on prior to vote, generally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the district is composed of only having one Elementary and one High school, the primary driver of differences in per pupil spending is driven differences between Elementary and High school needs. The difference for our district is marginal with the High school spending $22,785 per student and the Elementary spending $21,163 per student a difference of $1,622 per student per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