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buildings during the budget process, which typically starts by the end of January. The Assistant Superintendent of Administrative Services and Finance schedules a series of meetings with the building principals and department heads. Historical data as well as year to date expenditures are analyzed and discussed. Preliminary allocations are determined by the number of learners in each building, providing an equitable starting point. Discussions following including requested changes including the needs of the building population, both academically and social emotionally. Building demographics are also taken into consideration to determine students' learning needs. Physical plant needs are discussed including supplies, repairs and equipment. One-time purchases are reviewed and discussed to make a determination regarding sustainability. Initiatives are prioritized with the assistance of the Office of Curriculum &amp; Instruction to ensure requests are in align with the District's Strategic Plan and Mission, Vision &amp; Core Values adopted by the Board of Education. Determinations are made collaboratively, taking into consideration anticipation revenues. This process usually is completed by mid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the report indicates, our PreK program is at Charlotte Avenue. Consistently, this school has a lower than average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