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om November through December of each budget development year, we request budget input from our Budget Supervisors which includes building-level administration.  The staffing needs are identified by Central Office Administrators based on programmatic requirements, student instructional needs/desires, input from Coordinators and Directors, student enrollment and any other State or Federal mandates. We also look at trending in actual budget expenditures over a period of approximately five prior years to identify what a future budget need would reasonably be.  Throughout the budget development process, the Board of Education actively engages the community in a series of budget workshops to ensure public input is also garnered. Both of the District's high schools offer comparable programs with the same set of expectations of staff and students. Both of the District's middle schools offer comparable programs with the same expectations of staff and students.  All five of the District's elementary schools offer comparable programs with the same expectations of staff and students.  If a particular building is hosting a specialized District-wide program for a certain sub-set of students (i.e. an intensive program class for special education students), the "host" building will be selected based on physical facility capacity for the class, student enrollment, and staffing requirements/services which may already exist at the building.  It is important to note that additional unanticipated expenses were incurred in the form of various instructional modalities in the 2020-2021 school year due in response to COVID-19 and the need to address learning needs of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ease see above regarding specialized District-wide programs which may be housed at an individual building due to a variety of reaso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