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process that begins in December and ends when the budget is adopted by the Board of Education, usually in April.  The Assistant Superintendent for Business coordinates budget workshop meetings will all applicable stakeholders, including but not limited to:  the Board of Education, the Superintendent of Schools, the Elementary School Principal, the Middle School Principal, the Assistant Superintendent for Buildings and Grounds, the Assistant Superintendent for Curriculum, the Director of Student Services, the Transportation Supervisor, the Athletic Directors, and the Food Service Director.  Stakeholders prepare a list of budgetary requests and prioritize them based on the needs of the students and faculty.  This is a collaborative effort among stakeholders for both the Elementary and Middle Schools and not one individual is responsible for ensuring an individual school secures necessary resources.  The District does not use a formula to allocate funds to individual schools; all budgetary allocations are based upon the quantitative analysis completed during budget workshops and consultation with the parties listed above.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does not have a High School.  Therefore, the District enters into contracts with surrounding High Schools, Chester UFSD and Warwick Valley CSD, to send our High School age students, grades 9-12, at a predetermined tuition rate plus increases per contract.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