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leads the budget process that begins in December and ends when the budget is adopted by the Board of Education, usually in April.  The Assistant Superintendent for Business coordinates budget workshop meetings will all applicable stakeholders, including but not limited to:  the Board of Education, the Superintendent of Schools, the Elementary School Principal, the Middle School Principal, the Assistant Superintendent for Buildings and Grounds, the Assistant Superintendent for Curriculum, the Director of Student Services, the Transportation Supervisor, the Athletic Directors, and the Food Service Director.  Stakeholders prepare a list of budgetary requests and prioritize them based on the needs of the students and faculty.  This is a collaborative effort among stakeholders for both the Elementary and Middle Schools and not one individual is responsible for ensuring an individual school secures necessary resources.  The District does not use a formula to allocate funds to individual schools; all budgetary allocations are based upon the quantitative analysis completed during budget workshops and consultation with the parties listed above.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does not have a High School.  Therefore, the District enters into contracts with surrounding High Schools, Chester UFSD and Warwick Valley CSD, to send our High School age students, grades 9-12, at a predetermined tuition rate plus increases per contract.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