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Greene CSD uses a zero-based budget approach to funding.   Each year the Administration Team meets with the Superintendent, the Business Manager and the BOE Budget Committee to define program requirements &amp; goals and the funding necessary to achieve these objectives.  In conjunction with this assessment the BOE sets specific academic goals &amp; objectives (ie. literacy improvement)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and the overall appropriation budget becomes clearer.  During February to March, the BOE Budget Committee and the Administration Team continues to review both draft revenue &amp; appropriation budgets, available reserves, tax cap calculations, prioritizes new initiatives and sets budget parameters and resources based on estimated projected state funding.   GCSD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   I also think you will notice slightly larger funding in the lower grades; the belief is these students critical path to success is in the early informative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 noted above, we do not have budget limitations on our schools.    I think you will notice slightly larger funding in the lower grades (K-2)  the belief is these students critical path to success is in the early informative years.   The High School (9-12) also sees higher spending due to the many programs necessary to prepare these students for college &amp; careers. Spending levels per pupil in the various schools may also fluctuate based on class sizes moving in and out of buildings.  Staffing levels have stayed relatively stable in each building over the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timing falls for this report falls in a timeframe where districts are extremely busy with the beginning of school start-up and other operational filings (ST-3, audits).  Also, we are using current year budget data, and it would be helpful if we could use ST-3 budget data; however this is not loaded at this time to take advantage of this resource.  Moving this filing date to October 31 would be very helpful.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