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uses enrollment across all schools to allocate costs that were not identified as central district costs.  Per State guidelines, this method seems to be the most accurate way to apportion costs.
</w:t>
      </w:r>
    </w:p>
    <w:p>
      <w:pPr>
        <w:ind w:left="720"/>
      </w:pPr>
      <w:r>
        <w:rPr>
          <w:rFonts w:ascii="Garamond" w:hAnsi="Garamond"/>
        </w:rPr>
        <w:t>
</w:t>
      </w:r>
    </w:p>
    <w:p>
      <w:pPr>
        <w:ind w:left="720"/>
      </w:pPr>
      <w:r>
        <w:rPr>
          <w:rFonts w:ascii="Garamond" w:hAnsi="Garamond"/>
        </w:rPr>
        <w:t>Gloversville had already been budgeting salaries and non-personnel expenditures at the building level.  For those costs not already accounted for, we summarized what those expenses were and aligned them with the template reporting categories taking into consideration which of our student population they most directly related to. The district’s administrative team, department chairpersons, and unit leaders collaboratively review student achievement data and make recommendations to the superintendent and Board of Education for use of those remaining funds.  Since Gloversville has a very high number of students and families with social/emotional needs, we look very closely at ways to provide academic and ancillary support services to those students and their families.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In Part D: As in years past, Pre-kindergarten figures don't tie out to the full grant allocation because the district underestimates funding due to historical trends in the award being reduced mid-year based on actual student counts.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