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Superintendent and School Board and Treasurer/Business Office
</w:t>
      </w:r>
    </w:p>
    <w:p>
      <w:pPr>
        <w:ind w:left="720"/>
      </w:pPr>
      <w:r>
        <w:rPr>
          <w:rFonts w:ascii="Garamond" w:hAnsi="Garamond"/>
        </w:rPr>
        <w:t>Role of the school board participates in the budget development. It is a line-by-line (code) process. 
</w:t>
      </w:r>
    </w:p>
    <w:p>
      <w:pPr>
        <w:ind w:left="720"/>
      </w:pPr>
      <w:r>
        <w:rPr>
          <w:rFonts w:ascii="Garamond" w:hAnsi="Garamond"/>
        </w:rPr>
        <w:t>
</w:t>
      </w:r>
    </w:p>
    <w:p>
      <w:pPr>
        <w:ind w:left="720"/>
      </w:pPr>
      <w:r>
        <w:rPr>
          <w:rFonts w:ascii="Garamond" w:hAnsi="Garamond"/>
        </w:rPr>
        <w:t>When budget development begins: it is ongoing during the school year and most intensively during budget development workshops starting late winter. 
</w:t>
      </w:r>
    </w:p>
    <w:p>
      <w:pPr>
        <w:ind w:left="720"/>
      </w:pPr>
      <w:r>
        <w:rPr>
          <w:rFonts w:ascii="Garamond" w:hAnsi="Garamond"/>
        </w:rPr>
        <w:t>District employees involved:  mostly Superintendent, business office, and the public.
</w:t>
      </w:r>
    </w:p>
    <w:p>
      <w:pPr>
        <w:ind w:left="720"/>
      </w:pPr>
      <w:r>
        <w:rPr>
          <w:rFonts w:ascii="Garamond" w:hAnsi="Garamond"/>
        </w:rPr>
        <w:t>
</w:t>
      </w:r>
    </w:p>
    <w:p>
      <w:pPr>
        <w:ind w:left="720"/>
      </w:pPr>
      <w:r>
        <w:rPr>
          <w:rFonts w:ascii="Garamond" w:hAnsi="Garamond"/>
        </w:rPr>
        <w:t>Who represents: the needs of individual buildings and sites?  there is only one school.
</w:t>
      </w:r>
    </w:p>
    <w:p>
      <w:pPr>
        <w:ind w:left="720"/>
      </w:pPr>
      <w:r>
        <w:rPr>
          <w:rFonts w:ascii="Garamond" w:hAnsi="Garamond"/>
        </w:rPr>
        <w:t>
</w:t>
      </w:r>
    </w:p>
    <w:p>
      <w:pPr>
        <w:ind w:left="720"/>
      </w:pPr>
      <w:r>
        <w:rPr>
          <w:rFonts w:ascii="Garamond" w:hAnsi="Garamond"/>
        </w:rPr>
        <w:t>1A.  Local Methodology used to allocate funds between schools?  Answer:  there is only one school so there is no allocation of funds between schools. 
</w:t>
      </w:r>
    </w:p>
    <w:p>
      <w:pPr>
        <w:ind w:left="720"/>
      </w:pPr>
      <w:r>
        <w:rPr>
          <w:rFonts w:ascii="Garamond" w:hAnsi="Garamond"/>
        </w:rPr>
        <w:t>
</w:t>
      </w:r>
    </w:p>
    <w:p>
      <w:pPr>
        <w:ind w:left="720"/>
      </w:pPr>
      <w:r>
        <w:rPr>
          <w:rFonts w:ascii="Garamond" w:hAnsi="Garamond"/>
        </w:rPr>
        <w:t>1B Describe the roles of stakeholders in such budgetary processes.  There are no budgetary processes to allocate funds between schools because there is only one school. 
</w:t>
      </w:r>
    </w:p>
    <w:p>
      <w:pPr>
        <w:ind w:left="720"/>
      </w:pPr>
      <w:r>
        <w:rPr>
          <w:rFonts w:ascii="Garamond" w:hAnsi="Garamond"/>
        </w:rPr>
        <w:t>
</w:t>
      </w:r>
    </w:p>
    <w:p>
      <w:pPr>
        <w:ind w:left="720"/>
      </w:pPr>
      <w:r>
        <w:rPr>
          <w:rFonts w:ascii="Garamond" w:hAnsi="Garamond"/>
        </w:rPr>
        <w:t>1C.  if a formula allocates funds...... There is only one school so funds are not allocated between schools by a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one school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