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During the budget process funding for contractual services, textbooks, supplies and materials are allocated to the schools on a per pupil basis using current enrollment.  Allocation for Art, Music, and Athletics are also allocated on a per pupil basis, using current enrollment. 
</w:t>
      </w:r>
    </w:p>
    <w:p>
      <w:pPr>
        <w:ind w:left="720"/>
      </w:pPr>
      <w:r>
        <w:rPr>
          <w:rFonts w:ascii="Garamond" w:hAnsi="Garamond"/>
        </w:rPr>
        <w:t>Other expenses for BOCES, administrative expenses, debt, salary, benefits, and other district wide codes are budgeted by the business office using estimated expenses and prior year actuals.  Special Education expenses are budgeted by the PPS office using individual student projected expenses.  Co-curricular, Transportation, Facilities, Personnel, Board of Ed, C&amp;I, and Continuing Ed are all budgeted by the respective administrator in charge, based on a review of projected expenses and five year prior actual expenses.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Nothing significant.  From year to year there may be a change of the number of self-contained or inclusion classrooms in one particular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