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Goals and Guidelines continue to be developed and programming initiatives submitted during departmental meetings in December and January.  As Staffing and Employee Benefits account for approximately 78% of budgeted funding, the focus is on meeting student need with efficient, effective staffing and benefit delivery.  The Board of Education has established class size guidelines and throughout the budget process, enrollment data for each building and grade level is reviewed monthly and staffing adjusted.  Special education self contained rooms required higher staffing levels and are allocated accordingly.  Additional staffing required to meet individual building needs, such as Title I literacy and math supports, are established during this process.  
</w:t>
      </w:r>
    </w:p>
    <w:p>
      <w:pPr>
        <w:ind w:left="720"/>
      </w:pPr>
      <w:r>
        <w:rPr>
          <w:rFonts w:ascii="Garamond" w:hAnsi="Garamond"/>
        </w:rPr>
        <w:t>
</w:t>
      </w:r>
    </w:p>
    <w:p>
      <w:pPr>
        <w:ind w:left="720"/>
      </w:pPr>
      <w:r>
        <w:rPr>
          <w:rFonts w:ascii="Garamond" w:hAnsi="Garamond"/>
        </w:rPr>
        <w:t>Items such as, Instructional Hardware, Textbooks, Library Materials and Software, follow the NYS IMA formula and are allocated per building based on student enrollment.  Spending in these categories beyond the formula, as well as supply and other contractual items are developed throughout the budget planning process and involve building leaders, curriculum management and central office staff based on both grade and district level initiatives.  
</w:t>
      </w:r>
    </w:p>
    <w:p>
      <w:pPr>
        <w:ind w:left="720"/>
      </w:pPr>
      <w:r>
        <w:rPr>
          <w:rFonts w:ascii="Garamond" w:hAnsi="Garamond"/>
        </w:rPr>
        <w:t>
</w:t>
      </w:r>
    </w:p>
    <w:p>
      <w:pPr>
        <w:ind w:left="720"/>
      </w:pPr>
      <w:r>
        <w:rPr>
          <w:rFonts w:ascii="Garamond" w:hAnsi="Garamond"/>
        </w:rPr>
        <w:t>Athletics and Community Service spending impact the Middle School and High School primarily given the range of sports and levels offered, combined with intramural activity.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Self contained special education classrooms are placed in all buildings, with the exception of Pinehurst Elementary School.   Higher enrollment at Pinehurst has utilized available classroom space, and eliminated the option for self contained room assignment.  As a result, Pinehurst has a lower cost per student than the remaining elementary schools. 
</w:t>
      </w:r>
    </w:p>
    <w:p>
      <w:pPr>
        <w:ind w:left="720"/>
      </w:pPr>
      <w:r>
        <w:rPr>
          <w:rFonts w:ascii="Garamond" w:hAnsi="Garamond"/>
        </w:rPr>
        <w:t>
</w:t>
      </w:r>
    </w:p>
    <w:p>
      <w:pPr>
        <w:ind w:left="720"/>
      </w:pPr>
      <w:r>
        <w:rPr>
          <w:rFonts w:ascii="Garamond" w:hAnsi="Garamond"/>
        </w:rPr>
        <w:t>Teacher movement between buildings and grade levels is governed by collective bargaining agreements and can impact school level funding data given the wide variances in salary dollars between newer staff and more seasoned colleagues.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