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eds of each school building is the primary driver for allocation of funds between grade levels. This may change year to year as student needs are ever changing as well. The demographic and educational challenges of certain cohorts are the focus when building and targeting funds to best address these needs. The oversight of the Superintendent and administrative leadership in each building, along with recommendations of counseling and curricular development faculty are all taken into account when allocating funds. Therefore, we have no specific allocation methodology other than individual student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udent with disabilities population for our district changes each year, and is divided differently among our school buildings, depending on each cohort moving up, moving in to our district, or having changes to IEP's. Therefore, the fluid nature of this demographic has the potential of fluctuating expenses from year to year and by building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