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We first get our overall direction from the BoE sometime in January. After receiving input from the teachers on their expected spend, we factor in any new rate increases for health, dental, etc compared to previous year spending rates. The current actual trend rate is reviewed and compared to the current budget. The biggest driver is salaries which are reviewed against the teacher's contract.  The first iteration is presented to the board in March and it is tweaked several times until  finally approved by the board in April, which is then presented to the taxpayers for vote approval in May.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