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Board of Education set goals annually. The Superintendent and Assistant Superintendent meet to define budget strategies which will meet these goals. For instance this year, the district is implementing a new reading program. The budget process goes from November to April.  The building principals and other administrators have budget meetings to discuss their upcoming needs and visions. The building principals each have a budget as does the special ed director, the athletic director and facilities director. The Assistant Superintendent creates a rollover budget and then looks at external considerations such as contracts, health insurance, transportation and retirement contributions. The tax effect on the community is a large consideration.  There are community workshops for community input. Budget presentations are held at the Board meetings from January to April where the Board and community can give input.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Two of the district buildings are significantly older than Grady elementary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