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Superintendent and the Assistant Superintendent for Finance.  Each school building is provided an equal allocation of expense for materials &amp; supplies and books based on building enrollment.  The building principal is charged with allocating those dollars internally, in consultation with the Superintendent.  The budget development process begins in December and continues throughout March/April.
</w:t>
      </w:r>
    </w:p>
    <w:p>
      <w:pPr>
        <w:ind w:left="720"/>
      </w:pPr>
      <w:r>
        <w:rPr>
          <w:rFonts w:ascii="Garamond" w:hAnsi="Garamond"/>
        </w:rPr>
        <w:t>(B) Once building allocation have been distributed, the building principals meet with department chairs to determine budget needs for the year.  The school board is involved mostly through the board's finance committee.
</w:t>
      </w:r>
    </w:p>
    <w:p>
      <w:pPr>
        <w:ind w:left="720"/>
      </w:pPr>
      <w:r>
        <w:rPr>
          <w:rFonts w:ascii="Garamond" w:hAnsi="Garamond"/>
        </w:rPr>
        <w:t>(C) The allocation formula used for building materials &amp; supplies, subscriptions, and text books/consumables is equalized and based on building enrollment.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