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leads the budget process.  Needs are measured according to academic needs (AIS and Special Education, AP and honors classes, Arts, Clubs and Activities).  The budget process begins in October and is a monthly evolution of needs assessment, cost analysis, and assignment of funding.  Discretionary vs. non-discretionary funding is considered.
</w:t>
      </w:r>
    </w:p>
    <w:p>
      <w:pPr>
        <w:ind w:left="720"/>
      </w:pPr>
      <w:r>
        <w:rPr>
          <w:rFonts w:ascii="Garamond" w:hAnsi="Garamond"/>
        </w:rPr>
        <w:t>
</w:t>
      </w:r>
    </w:p>
    <w:p>
      <w:pPr>
        <w:ind w:left="720"/>
      </w:pPr>
      <w:r>
        <w:rPr>
          <w:rFonts w:ascii="Garamond" w:hAnsi="Garamond"/>
        </w:rPr>
        <w:t>All district employees except for support staff are involved in the budget process.  Faculty, Grade Chairs, Department Chairs, Principals, Superintendent, Business Administrator, all appointed Supervisors, and the Board of Education, through full board and the committee process, are involved.  The school board actively accepts recommendations brought to them from various stakeholders through the superintendent of schools.  Community conversations are held monthly to distribute information and allow for public comment.
</w:t>
      </w:r>
    </w:p>
    <w:p>
      <w:pPr>
        <w:ind w:left="720"/>
      </w:pPr>
      <w:r>
        <w:rPr>
          <w:rFonts w:ascii="Garamond" w:hAnsi="Garamond"/>
        </w:rPr>
        <w:t>
</w:t>
      </w:r>
    </w:p>
    <w:p>
      <w:pPr>
        <w:ind w:left="720"/>
      </w:pPr>
      <w:r>
        <w:rPr>
          <w:rFonts w:ascii="Garamond" w:hAnsi="Garamond"/>
        </w:rPr>
        <w:t>The Cooperstown Central School District, through its budget planning, strives to ensure that teachers are assigned based on course load and equally distributed class sizes.  In addition, each staff member is awarded an even amount for each of the following annually:  conferences, professional development, in-service, materials and supplies, equipment.  Because the majority of funds support our faculty and staff, it’s important to equalize spending among them and across department levels.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between each school the district operates and the district average is not significantly different.  Differences in spending between the two buildings can be attributed to costs associated with special education, academic intervention services, extra-curricular activities, and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There are no items to describe in which the district feels are anomalous in nature and require additional description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