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led by the Assistant Superintendent &amp; Chief Administrative Officer and the Superintendent of Schools. The Superintendent's Staff, consisting of the Assistant Superintendents for Curriculum and Instruction, Pupil Personnel Services, and Personnel along with the Assistant Superintendent and Chief Administrative Officer work with the Superintendent to review curriculum needs, evaluate programs and plan staffing and plant needs. input is gathered from principals, teachers, and other administrators to inform the work of the Superintendent &amp; Staff. In addition, principals are allocated funds for instructional and office supplies, textbooks, software, library materials and daily building needs based on projected enrollment. The only exception to this process is Birchwood School. As a strictly special education building with a small population, IEP requirements figure more prominently in the building budget than in the other, more typical settings. Additional funding for instructional initiatives, central services, professional development opportunities, instructional technology, safety and security and staffing are allocated based on the unique needs of each building and their population. This process usually begins late in the fall and lasts until the final draft of the Superintendent's budget is provided to the Board of Education. In January, when the data becomes available, the District Treasurer performs the Tax Cap calculation and, combined with the Executive Budget estimates for NYS Aid, creates a revenue budget. The Assistant Superintendent &amp; Chief Administrative Officer and the District Treasurer take the appropriation plans developed earlier and balance the budget with the projected revenue.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Birchwood School is a special District school for students with learning and behavioral needs. As a K-12 School, they require staffing for all high school student requirements as well as all "specials". The enrollment is less than 100 students, many of whom require additional support in various areas. This creates a higher per student spending ratio than our other buildings.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