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&amp; Chief Administrative Officer and the Superintendent of Schools. The Superintendent's Staff, consisting of the Assistant Superintendents for Curriculum and Instruction, Pupil Personnel Services, and Personnel along with the Assistant Superintendent and Chief Administrative Officer work with the Superintendent to review curriculum needs, evaluate programs and plan staffing and plant needs. input is gathered from principals, teachers, and other administrators to inform the work of the Superintendent &amp; Staff. In addition, principals are allocated funds for instructional and office supplies, textbooks, software, library materials and daily building needs based on projected enrollment. The only exception to this process is Birchwood School. As a strictly special education building with a small population, IEP requirements figure more prominently in the building budget than in the other, more typical settings. Additional funding for instructional initiatives, central services, professional development opportunities, instructional technology, safety and security and staffing are allocated based on the unique needs of each building and their population. This process usually begins late in the fall and lasts until the final draft of the Superintendent's budget is provided to the Board of Education. In January, when the data becomes available, the District Treasurer performs the Tax Cap calculation and, combined with the Executive Budget estimates for NYS Aid, creates a revenue budget. The Assistant Superintendent &amp; Chief Administrative Officer and the District Treasurer take the appropriation plans developed earlier and balance the budget with the projected revenue.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Birchwood School is a special District school for students with learning and behavioral needs. As a K-12 School, they require staffing for all high school student requirements as well as all "specials". The enrollment is less than 100 students, many of whom require additional support in various areas. This creates a higher per student spending ratio than our other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