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Funds are allocated to schools through the budget process based on the student enrollment, class makeup, special needs of students and programing choices. Chester has only one school building for any given grade level so the entire range of student’s needs are provided for in each building.
</w:t>
      </w:r>
    </w:p>
    <w:p>
      <w:pPr>
        <w:ind w:left="720"/>
      </w:pPr>
      <w:r>
        <w:rPr>
          <w:rFonts w:ascii="Garamond" w:hAnsi="Garamond"/>
        </w:rPr>
        <w:t>The budget is developed by the Business Official, the Superintendent of Schools and the Board of Education to maximize resources and enhance student achievement. They receive program recommendations from building principals and directors as well as input from the community. There are pre-established, specific formula driven allocations.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