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Business Administrator, along with the Superintendent, and all key employees play a role in the budget process. The Business Administrator and the Superintendent meet with each member of the Administrative Team, the Head of Transportation, the Head of Maintenance, Cafeteria Manager, Librarian, Network Administrator, and Athletic Director. The Board of Education is part of the process as well.  The Board of Education is updated each month beginning in December and we advise them on what we feel the needs are of the district for the following year.  We also try to incorporate any needs that the Board feels should be part of the following years' budget.  Budget meetings begin with each Department Head in early November.  We discuss what they anticipate their needs to be for the following school year, how their needs were met the current year and how we can improve in all areas based on student needs.  The Business Administrator and Superintendent convey that information to the School Board beginning in December.  We then begin with a roll over style budget from the previous year however we view each budget line to determine historical spending and projected spending to determine what the district will need moving forward.  The needs of the students are first and foremost in the budgeting process.  Each need or concern conveyed to the Business Administrator does indeed translate into the budget process.  The budget process begins in early November and does not end until the May budget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are somewhat fluid within our budget.  We really focus on what is best for our students.  This is a changing environment and we do our absolute best to ensure that we are addressing the needs of all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 that I am aware.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