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Chenango Forks Central School District partners with the Central Business Office of Broome-Tioga BOCES to complete the budget process.  Every November we complete a staff verification to ensure all personnel are budgeted correctly as planned from the previous year’s budget process.  During November and December, all buildings and departments develop the programmatic side of the budget.  We use a zero-based budget approach where all lines are taken to zero and each budget manager and principal is required to build their budget based on actual cost requirements.  We hold meetings with each manager to go line by line to determine an appropriate amount.    
</w:t>
      </w:r>
    </w:p>
    <w:p>
      <w:pPr>
        <w:ind w:left="720"/>
      </w:pPr>
      <w:r>
        <w:rPr>
          <w:rFonts w:ascii="Garamond" w:hAnsi="Garamond"/>
        </w:rPr>
        <w:t>
</w:t>
      </w:r>
    </w:p>
    <w:p>
      <w:pPr>
        <w:ind w:left="720"/>
      </w:pPr>
      <w:r>
        <w:rPr>
          <w:rFonts w:ascii="Garamond" w:hAnsi="Garamond"/>
        </w:rPr>
        <w:t>In conjunction with the Central Business Office, who does an extensive examination of all revenues, we are able to monitor and apply appropriate projections for both state aid and local property tax revenue.  The Central Business Office also takes considerable time developing budget projections for all debt service, health insurance, retirement, and other employee benefits.  By the middle of February, after receiving the Governor’s Budget Proposal, the Central Business Office provides us with a working draft of our budget.  From there, based on where we are regarding revenues and expenses, decisions are made to either adjust purchases or staffing.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among our locations are not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is not applicable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