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first allocated to areas legally obligated (debt service, contract transportation, charter school tuition, etc.). Funds are then allocated to schools based on assessed student need.  Student need is assessed across two broad categories 1) general education students and 2) special education students.  Enrollment projections across each grade level are  reviewed and classroom sizes are adjusted as necessary.  Specials and electives are offered as required first and then secondarily as student interest dictates.  The majority of the funds per building are the salary and benefit costs to fund the program needs as determined above.
</w:t>
      </w:r>
    </w:p>
    <w:p>
      <w:pPr>
        <w:ind w:left="720"/>
      </w:pPr>
      <w:r>
        <w:rPr>
          <w:rFonts w:ascii="Garamond" w:hAnsi="Garamond"/>
        </w:rPr>
        <w:t>
</w:t>
      </w:r>
    </w:p>
    <w:p>
      <w:pPr>
        <w:ind w:left="720"/>
      </w:pPr>
      <w:r>
        <w:rPr>
          <w:rFonts w:ascii="Garamond" w:hAnsi="Garamond"/>
        </w:rPr>
        <w:t>The budget development process is led by the Superintendent in conjunction with the Assistant Superintendent and the Business Administrator.  The Superintendent hosts meetings with functional department heads and building level administration to discuss budget priorities and needs for the coming year.  The process begins in late Fall and concludes in early Spring of every year.  The Board of Education is involved in budget building after the Superintendent has prepared proposals for them to review and provide input on.  Student needs are assessed throughout the duration of the budget cycle.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