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business official leads the budget development process with much input from other administrators, the school board, and community stakeholders.  The process of budget development includes budget history review, fund balance review, enrollment history and projection, staffing projection, budget listening sessions, and meetings with the budget task force.  The process begins in September and lasts until March of the following year.
</w:t>
      </w:r>
    </w:p>
    <w:p>
      <w:pPr>
        <w:ind w:left="720"/>
      </w:pPr>
      <w:r>
        <w:rPr>
          <w:rFonts w:ascii="Garamond" w:hAnsi="Garamond"/>
        </w:rPr>
        <w:t>
</w:t>
      </w:r>
    </w:p>
    <w:p>
      <w:pPr>
        <w:ind w:left="720"/>
      </w:pPr>
      <w:r>
        <w:rPr>
          <w:rFonts w:ascii="Garamond" w:hAnsi="Garamond"/>
        </w:rPr>
        <w:t>(B) District employees most involved in the budget development process include the superintendent, business official, building principals, director of transportation, director of instructional technology, director of facilities, director of special education, and director of athletics.  These individuals all represents areas of the district in which they oversee.  The district has one combined building for elementary and secondary education.  The school board creates a budget task force to work closely with the business official and provide input as well as oversight.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