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makes budgetary decisions based on the needs of the students, staff and buildings. The administrators  incorporate the long-range strategic plan, the multi-year financial and facilities plans, the Special Education Plan, the Technology Plan and the Guidance Plan into the budget. The School Board recognizes the importance of appropriate class sizes in maintaining excellence in education. Through negotiations, the District has a guideline for class size for K-12. While preparing the budget, we use the projected enrollment per grade and per school to staff each school. Working together with the building administrators, we determine the classroom sections for each school, and the per pupil cost for each level; elementary schools, middle schools, and the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even Bridges Middle School has less students than Bell Middle School, but due to the District's commitment to the team structure at the middle schools, the per pupil cost is higher at Seven Bridg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