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Assistant Superintendent for Business leads the budget development process which begins in October and lasts until the budget is adopted by the voters in May. The business official meets with the cabinet which includes all administrators and principals to discuss district goals and the strategic plan which incorporates the needs of the students.  Funds are allocated to schools based on these goals and needs.  
</w:t>
      </w:r>
    </w:p>
    <w:p>
      <w:pPr>
        <w:ind w:left="720"/>
      </w:pPr>
      <w:r>
        <w:rPr>
          <w:rFonts w:ascii="Garamond" w:hAnsi="Garamond"/>
        </w:rPr>
        <w:t>B.) Central administrators, building administrators and department heads/chairs are all involved in the budget development process.  The Board will review the budget prior to public presentation and assist in the decision-making process to resolve any issues and ensure the budget is under the tax cap.
</w:t>
      </w:r>
    </w:p>
    <w:p>
      <w:pPr>
        <w:ind w:left="720"/>
      </w:pPr>
      <w:r>
        <w:rPr>
          <w:rFonts w:ascii="Garamond" w:hAnsi="Garamond"/>
        </w:rPr>
        <w:t>C.) No,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