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Business Manager, Superintendent and Administrators oversee the allocation of funds within Canton's Budget.  We work closely to ensure the needs of each school level are met.  Budget development begins in October and ends with the budget vote in May.
</w:t>
      </w:r>
    </w:p>
    <w:p>
      <w:pPr>
        <w:ind w:left="720"/>
      </w:pPr>
      <w:r>
        <w:rPr>
          <w:rFonts w:ascii="Garamond" w:hAnsi="Garamond"/>
        </w:rPr>
        <w:t>B.  Superintendent, School Administrators, and Business Manager are involved with the budget development process.  The School Board sets goals and monitors progress.  Each Administrator represents the needs of their building.
</w:t>
      </w:r>
    </w:p>
    <w:p>
      <w:pPr>
        <w:ind w:left="720"/>
      </w:pPr>
      <w:r>
        <w:rPr>
          <w:rFonts w:ascii="Garamond" w:hAnsi="Garamond"/>
        </w:rPr>
        <w:t>C.  Canton Central does not use a specific formula to allocate funds to individual schools.  Money is allocated based on programming and needs within each building.  Needs change from year to year based on student body and program needs - we prioritize and allocate funds to best support all our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Canton Central has a robust Athletic program.  This mainly centers around Varsity level events and drives our cost up in the High School.  Many BOCES services are also centered around the Jr &amp; Sr. year of school - additionally increasing the cost per student in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