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executive team of the district meets with all budget makers from November through March to define their needs for the coming school year both in regards to staffing and non-staffing areas. Each building and department submits a budget and narrative to the central office management team.  From these meetings, the budget is built to accommodate these identified needs to the extent possible within the constraints of available revenue sources. Each school and department presents to the board of education from January through March so that there is transparency among all stakeholders. There are many public meetings once the budget has been adopted by the board of education with community groups and the PTA. The only truly formulaic process used is for the categories of NY State materials aids (textbooks, library book,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school's funding per pupil is higher based on interscholastic sports, International Baccalaureate, occupational education opportunities and the many electives students have the opportunity to choose from.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district's funding per pupil will increase beginning in 2021-22 in part due to the UPK expansion grant that the District will begin receiving in 2021-22 and the federal COVID stimulus funds that have been allocated to the district. The District anticipates receiving COVID federal stimulus funds through 2023-24.</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