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district is very homogenous with the ratio of Free and Reduced students in each building very close.  Our goal for allocation is to maintain equity from building to building.  With our contractual codes, our supply codes library books, textbooks and equipment each building receives a allocation based on enrolled students.  Our allocations per student go up as we go up in grades.  We believe that the cost of just about everything increases as the items purchased are for older and older students.  In the area of staffing we look to maintain class size pretty close in all elementary buildings.  High school staffing is built around content area and the Middle school's staffing is built around teaming which requires a even number of teachers to make up a team at each grade level.Individual meetings were held with building administrators and the District office- Superintendent, Assistant Superintendent for Curriculum and the Assistant Superintendent for Business.  The initial meetings held in January  reviewed student performance, current and projected student needs for materials, contractual expenses and staffing based on  class size projections for the upcoming year including Special Education student counts. Any individual requests for non-standard funding allocation of per student with double allocation for Special education students were discussed at that time. After individual meetings with each Principal and Special Education Director the District Administration meets collectively with all administrators to allocate limited resources and funding services based on aid projections  and other revenues.  Final allocations are determined by District Office.   Our district  is very homogenous in perspective to social economics. Allocation per building will change as special education enrollment change in any given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reasons.
</w:t>
      </w:r>
    </w:p>
    <w:p>
      <w:pPr>
        <w:ind w:left="720"/>
      </w:pPr>
      <w:r>
        <w:rPr>
          <w:rFonts w:ascii="Garamond" w:hAnsi="Garamond"/>
        </w:rPr>
        <w:t>
</w:t>
      </w:r>
    </w:p>
    <w:p>
      <w:pPr>
        <w:ind w:left="720"/>
      </w:pPr>
      <w:r>
        <w:rPr>
          <w:rFonts w:ascii="Garamond" w:hAnsi="Garamond"/>
        </w:rPr>
        <w:t>As shared we design our building/student allocations go up as we increase grade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Budgeting and allocations are pretty equitable now that we have reduced from 4 unique geographic locations for our elementary school and are now down to 2. Equitable allocations with a homogeneous population is very easy to accomplish.</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