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Superintendent and Assistant Superintendent for Finance &amp; Operations lead the budget development process. Needs of students are translated into the budget by collaborative budgeting efforts by all building and department administrators. Programatic offerings are considered every year throughout the budgeting process and prioritized by the Board of Education and administration. Social emotional health and wellbeing has been one of the many focal points of the Board of Education as well as continuing a 1:1 technology initiative. The formal budget development process starts in November and lasts until May however the process is ongoing as needs change throughout the year.  
</w:t>
      </w:r>
    </w:p>
    <w:p>
      <w:pPr>
        <w:ind w:left="720"/>
      </w:pPr>
      <w:r>
        <w:rPr>
          <w:rFonts w:ascii="Garamond" w:hAnsi="Garamond"/>
        </w:rPr>
        <w:t>
</w:t>
      </w:r>
    </w:p>
    <w:p>
      <w:pPr>
        <w:ind w:left="720"/>
      </w:pPr>
      <w:r>
        <w:rPr>
          <w:rFonts w:ascii="Garamond" w:hAnsi="Garamond"/>
        </w:rPr>
        <w:t>B) The Board of Education, District Administration, Building Administration and Department Leaders are involved in the budgeting process. The school board is the guiding body behind the budget and the long range financial and academic health of the district. Building principals and assistant principals represent individual school buildings.
</w:t>
      </w:r>
    </w:p>
    <w:p>
      <w:pPr>
        <w:ind w:left="720"/>
      </w:pPr>
      <w:r>
        <w:rPr>
          <w:rFonts w:ascii="Garamond" w:hAnsi="Garamond"/>
        </w:rPr>
        <w:t>
</w:t>
      </w:r>
    </w:p>
    <w:p>
      <w:pPr>
        <w:ind w:left="720"/>
      </w:pPr>
      <w:r>
        <w:rPr>
          <w:rFonts w:ascii="Garamond" w:hAnsi="Garamond"/>
        </w:rPr>
        <w:t>C)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