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Schools receive a per pupil allocation, as described below, in which the Principal has discretion as to how the funds are to be allocated. Items can include library materials, classroom materials, general supplies and textbooks. As the leader of the building, the Principal best understands the needs of the building and has the ability to allocate funds to address the needs.  In addition, central office administrators meet with the principals to go over any additional needs.  The principals have an opportunity to request additional funds above and beyond their per pupil allocation, but must connect the additional funds to building or district plans or initiatives. These requests are reviewed and prioritized on a district wide basis and are not guaranteed to be funded.  Allocations for staffing are partly based on enrollment and contractual staffing levels, although a collaborative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It appears that West Middle School has a higher per pupil expenditure due to the number of senior staff that works at the building and lower enrollment.  This is partly due to the fact that the district runs an Autism Class and a low level ungraded alternative assessment class in this building.  Also, the ELL student population is at a lower level requiring smaller class sizes and additional services.  West Middle school also has six before and after school programs for SIFE, NYSSLAT, ENL, ELA and also runs a Friendship Club program.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