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Deputy Superintendent for Business. The development process is continuous throughout the year beginning in early November. 
</w:t>
      </w:r>
    </w:p>
    <w:p>
      <w:pPr>
        <w:ind w:left="720"/>
      </w:pPr>
      <w:r>
        <w:rPr>
          <w:rFonts w:ascii="Garamond" w:hAnsi="Garamond"/>
        </w:rPr>
        <w:t>B.  The Superintendent's Cabinet and School/Department Administrative staff work collaboratively to address the needs of the students and build a plan for identifying and funding Mandates, Essential and Non-essential/Priority items.
</w:t>
      </w:r>
    </w:p>
    <w:p>
      <w:pPr>
        <w:ind w:left="720"/>
      </w:pPr>
      <w:r>
        <w:rPr>
          <w:rFonts w:ascii="Garamond" w:hAnsi="Garamond"/>
        </w:rPr>
        <w:t>C.  District spending is primarily driven centrally. Each school receives a small per pupil allocation to be used at the principal’s discretion for supplies, minor equipment, repairs, field trips, etc. The primary driver for school spending is staffing which is determined centrally based on the student population in that school with additional staffing allocated to support English as a New Language, Special Education program needs, literacy and math intervention supports, and in some buildings community schools programming. Some schools provide special classes, while others are primarily consultant teachers in an integrated class, least restrictive setting. This impacts the amount per pupil spent in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Schuyler Achievement Academy receives additional funds/supports, including a Community Schools grant unique for that school of almost two million dollars.  Arbor Hill Elementary School received additional funds/supports, including a Community Schools grant of one hundred thousand dollars.  Additionally, the district receives a number of state and federal grants which funds are available to specific schools. For example, the 21st Century Community Learning Centers grant provides additional funds to six of our schools; the Empire State Afterschool grant provides additional funds to seven of our schools; one of our middle schools receives funds through the Persistently Struggling Schools grant of almost two hundred thousand; and our Career and Technical Education program at Albany High School receives federal Perkins grant funds to support that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