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Afton Central School District uses a zero-based budget approach to funding.   Each year the Administration Team meets with the Superintendent, the Business Manager, Cabinet and the BOE Budget Committee to define program requirements &amp; goals and the funding necessary to achieve these objectives.  In conjunction with this assessment the BOE sets specific academic goals &amp; objectives (ie. Next Gen learning standards, PLC’s, Implement Restorative Practices, Step Up to Writing, Restorative Practices, and eDoctrina for DATA analysis) for the academic school year.  The budget process does not limit funding to the various schools, it is a natural outcome of the budget development process.  Within this framework each school building and administrator is key to the development of their budget for the upcoming school year.   
</w:t>
      </w:r>
    </w:p>
    <w:p>
      <w:pPr>
        <w:ind w:left="720"/>
      </w:pPr>
      <w:r>
        <w:rPr>
          <w:rFonts w:ascii="Garamond" w:hAnsi="Garamond"/>
        </w:rPr>
        <w:t>Each Building Principal and Operational Administrator (buildings &amp; grounds, transportation, technology, CSE, business &amp; finance, school cafeteria program) are tasked with submission of initial budget data/funding with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As the appropriation budget process continues, certain cost elements are able to be better defined (health insurance, retirement system costs, fuel costs, unemployment) and the overall appropriation budget becomes clearer.  During February to March, the BOE and the Administration Team continues to review both draft revenue &amp; appropriation budgets, available reserves, tax cap calculations, prioritizes new initiatives and sets budget parameters and resources based on estimated projected state funding.   Afton Central School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You will see the financial assessment of each building and relative spending levels per pupil are fairly consistent.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I noted above, we do not have budget limitations on our schools. The higher spending per pupil in the High School is reflective of a larger student course offerings and smaller classes for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