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led by Dr. Edwin M. Quezada, Superintendent of Schools, John Jacobson, Budget Director, John Liszewski, Commissioner of Finance, and School Principals. The budget process usually starts in December and ends with the Board of Trustees adopting the budget in June.    
</w:t>
      </w:r>
    </w:p>
    <w:p>
      <w:pPr>
        <w:ind w:left="720"/>
      </w:pPr>
      <w:r>
        <w:rPr>
          <w:rFonts w:ascii="Garamond" w:hAnsi="Garamond"/>
        </w:rPr>
        <w:t>•	Initial Status Quo budget with roll-up expenses is provided by the Finance Department
</w:t>
      </w:r>
    </w:p>
    <w:p>
      <w:pPr>
        <w:ind w:left="720"/>
      </w:pPr>
      <w:r>
        <w:rPr>
          <w:rFonts w:ascii="Garamond" w:hAnsi="Garamond"/>
        </w:rPr>
        <w:t>o	Using the May staffing file from Human Resources provides personnel at each school and department location including current base salary, longevity pay and stipends.  The new budget is built using staffing levels and placements as they exist; and
</w:t>
      </w:r>
    </w:p>
    <w:p>
      <w:pPr>
        <w:ind w:left="720"/>
      </w:pPr>
      <w:r>
        <w:rPr>
          <w:rFonts w:ascii="Garamond" w:hAnsi="Garamond"/>
        </w:rPr>
        <w:t>o	Personnel are adjusted based on Bargaining Unit contracts. Base salaries, longevities and stipends increased to reflect contractual increases for each respective union where applicable.
</w:t>
      </w:r>
    </w:p>
    <w:p>
      <w:pPr>
        <w:ind w:left="720"/>
      </w:pPr>
      <w:r>
        <w:rPr>
          <w:rFonts w:ascii="Garamond" w:hAnsi="Garamond"/>
        </w:rPr>
        <w:t>•	Superintendent, COY Finance and YPS instructional budget team review and provide:
</w:t>
      </w:r>
    </w:p>
    <w:p>
      <w:pPr>
        <w:ind w:left="720"/>
      </w:pPr>
      <w:r>
        <w:rPr>
          <w:rFonts w:ascii="Garamond" w:hAnsi="Garamond"/>
        </w:rPr>
        <w:t>o	Anticipated enrollment increases/decreases and related expenses and staffing; 
</w:t>
      </w:r>
    </w:p>
    <w:p>
      <w:pPr>
        <w:ind w:left="720"/>
      </w:pPr>
      <w:r>
        <w:rPr>
          <w:rFonts w:ascii="Garamond" w:hAnsi="Garamond"/>
        </w:rPr>
        <w:t>o	Additional NYSED or BOE required mandated services and related expenses and staffing; and
</w:t>
      </w:r>
    </w:p>
    <w:p>
      <w:pPr>
        <w:ind w:left="720"/>
      </w:pPr>
      <w:r>
        <w:rPr>
          <w:rFonts w:ascii="Garamond" w:hAnsi="Garamond"/>
        </w:rPr>
        <w:t>o	Instructional program changes and related expenses and staffing
</w:t>
      </w:r>
    </w:p>
    <w:p>
      <w:pPr>
        <w:ind w:left="720"/>
      </w:pPr>
      <w:r>
        <w:rPr>
          <w:rFonts w:ascii="Garamond" w:hAnsi="Garamond"/>
        </w:rPr>
        <w:t>•	Superintendent and senior executive cabinet analyze academic assessment data to determine Districtwide short-term and long-term goals.  Individual meetings with principals and district administrators/supervisors to assess:
</w:t>
      </w:r>
    </w:p>
    <w:p>
      <w:pPr>
        <w:ind w:left="720"/>
      </w:pPr>
      <w:r>
        <w:rPr>
          <w:rFonts w:ascii="Garamond" w:hAnsi="Garamond"/>
        </w:rPr>
        <w:t>o	School capacity;
</w:t>
      </w:r>
    </w:p>
    <w:p>
      <w:pPr>
        <w:ind w:left="720"/>
      </w:pPr>
      <w:r>
        <w:rPr>
          <w:rFonts w:ascii="Garamond" w:hAnsi="Garamond"/>
        </w:rPr>
        <w:t>o	Academic standing;
</w:t>
      </w:r>
    </w:p>
    <w:p>
      <w:pPr>
        <w:ind w:left="720"/>
      </w:pPr>
      <w:r>
        <w:rPr>
          <w:rFonts w:ascii="Garamond" w:hAnsi="Garamond"/>
        </w:rPr>
        <w:t>o	Instructional or physical areas of concerns;
</w:t>
      </w:r>
    </w:p>
    <w:p>
      <w:pPr>
        <w:ind w:left="720"/>
      </w:pPr>
      <w:r>
        <w:rPr>
          <w:rFonts w:ascii="Garamond" w:hAnsi="Garamond"/>
        </w:rPr>
        <w:t>o	Instructional programmatic changes and related expenses and staffing;
</w:t>
      </w:r>
    </w:p>
    <w:p>
      <w:pPr>
        <w:ind w:left="720"/>
      </w:pPr>
      <w:r>
        <w:rPr>
          <w:rFonts w:ascii="Garamond" w:hAnsi="Garamond"/>
        </w:rPr>
        <w:t>o	Implementation of districtwide instructional goals and related expenses and staffing; and  
</w:t>
      </w:r>
    </w:p>
    <w:p>
      <w:pPr>
        <w:ind w:left="720"/>
      </w:pPr>
      <w:r>
        <w:rPr>
          <w:rFonts w:ascii="Garamond" w:hAnsi="Garamond"/>
        </w:rPr>
        <w:t>o	Expenses includes supplies, materials, equipment and contracts.
</w:t>
      </w:r>
    </w:p>
    <w:p>
      <w:pPr>
        <w:ind w:left="720"/>
      </w:pPr>
      <w:r>
        <w:rPr>
          <w:rFonts w:ascii="Garamond" w:hAnsi="Garamond"/>
        </w:rPr>
        <w:t>o	
</w:t>
      </w:r>
    </w:p>
    <w:p>
      <w:pPr>
        <w:ind w:left="720"/>
      </w:pPr>
      <w:r>
        <w:rPr>
          <w:rFonts w:ascii="Garamond" w:hAnsi="Garamond"/>
        </w:rPr>
        <w:t>•	Superintendent holds budget town hall meetings to obtain feedback from the union leaders, PTA and community to review budget needs and determine Districtwide short-term and long-term goals.  
</w:t>
      </w:r>
    </w:p>
    <w:p>
      <w:pPr>
        <w:ind w:left="720"/>
      </w:pPr>
      <w:r>
        <w:rPr>
          <w:rFonts w:ascii="Garamond" w:hAnsi="Garamond"/>
        </w:rPr>
        <w:t>•	The District does not use a formula to allocate funds to individual schools.  Allocations are made as described above.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Factors may include:
</w:t>
      </w:r>
    </w:p>
    <w:p>
      <w:pPr>
        <w:ind w:left="720"/>
      </w:pPr>
      <w:r>
        <w:rPr>
          <w:rFonts w:ascii="Garamond" w:hAnsi="Garamond"/>
        </w:rPr>
        <w:t>•	Longevity related salaries of staff;
</w:t>
      </w:r>
    </w:p>
    <w:p>
      <w:pPr>
        <w:ind w:left="720"/>
      </w:pPr>
      <w:r>
        <w:rPr>
          <w:rFonts w:ascii="Garamond" w:hAnsi="Garamond"/>
        </w:rPr>
        <w:t>•	Number and type of classes, and related staffing and expenses for Students With Disabilities; 
</w:t>
      </w:r>
    </w:p>
    <w:p>
      <w:pPr>
        <w:ind w:left="720"/>
      </w:pPr>
      <w:r>
        <w:rPr>
          <w:rFonts w:ascii="Garamond" w:hAnsi="Garamond"/>
        </w:rPr>
        <w:t>•	Number of career and technical education programs and related staffing and expenses; 
</w:t>
      </w:r>
    </w:p>
    <w:p>
      <w:pPr>
        <w:ind w:left="720"/>
      </w:pPr>
      <w:r>
        <w:rPr>
          <w:rFonts w:ascii="Garamond" w:hAnsi="Garamond"/>
        </w:rPr>
        <w:t>•	Grade configuration related to contractual pupil/teacher ratios; 
</w:t>
      </w:r>
    </w:p>
    <w:p>
      <w:pPr>
        <w:ind w:left="720"/>
      </w:pPr>
      <w:r>
        <w:rPr>
          <w:rFonts w:ascii="Garamond" w:hAnsi="Garamond"/>
        </w:rPr>
        <w:t>•	Pupil Support Services available; and
</w:t>
      </w:r>
    </w:p>
    <w:p>
      <w:pPr>
        <w:ind w:left="720"/>
      </w:pPr>
      <w:r>
        <w:rPr>
          <w:rFonts w:ascii="Garamond" w:hAnsi="Garamond"/>
        </w:rPr>
        <w:t>•	English as a New Language services available.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