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School Business Administrator review macroeconomic factors to determine acceptable parameters for budget-to-budget growth.  After these parameters are established the curricular needs of students are prioritized based upon the District's K-12 scope and sequence to determine building level needs for curricular consumables, texts, and software programming.  This follows the District's long-term strategic plan, and all district administrators work with building based decision making teams to establish building priorities that are addressed in the budget.   The budgeting process begins in November with a review of the current year's budget performance, and macroeconomic growth factors.  As elements such as state aid, tax cap factors, and benefit rates become more clear, these variables are weighed against the District's long term strategic plan and priorities.  This is done through several budget presentations to the board of education and a workshop where these variables are discussed.   The district does not use a formula to allocate funds, as the needs of various grade level and programmatic areas will vary and cannot be distributed via a flat formula.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a small, rural district, there are certain fixed costs associated with operating school buildings and fluctuations in class size/grade level enrollment will have a factor on the net per-pupil expense.  The districts per-pupil expenditure per building therefore has an direct relationship to the enrollment of the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