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process starts with the superintendent and business official establishing parameters of what the district would like to accomplish fr the following year. 
</w:t>
      </w:r>
    </w:p>
    <w:p>
      <w:pPr>
        <w:ind w:left="720"/>
      </w:pPr>
      <w:r>
        <w:rPr>
          <w:rFonts w:ascii="Garamond" w:hAnsi="Garamond"/>
        </w:rPr>
        <w:t>B) A preliminary budget is put together with input from principals and department heads to meet their needs. An initial budget is then presented to the school board for there input and at that time we estimate what state aid we are anticipating and what our tax cap allows. Then as we approach the state deadline for state aid the Board of Education and Superintendent and Business Administrator makes a priority list of potential cuts or additions depending the state aid numbers.
</w:t>
      </w:r>
    </w:p>
    <w:p>
      <w:pPr>
        <w:ind w:left="720"/>
      </w:pPr>
      <w:r>
        <w:rPr>
          <w:rFonts w:ascii="Garamond" w:hAnsi="Garamond"/>
        </w:rPr>
        <w:t>Once final State Aid is announced the board of education then adjusts the budget with the input from Superintendent and Business Administrator.
</w:t>
      </w:r>
    </w:p>
    <w:p>
      <w:pPr>
        <w:ind w:left="720"/>
      </w:pPr>
      <w:r>
        <w:rPr>
          <w:rFonts w:ascii="Garamond" w:hAnsi="Garamond"/>
        </w:rPr>
        <w:t>C) We only have one building per grade level so allocation between buildings is based on what the entire grade levels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elementary numbers are higher than our secondary schools numbers and that is an effort to maintain smaller class sizes on the primary grades to ensure that students have the adequate tools and instruction to not fall behind in their early instruction. This is important to keeping students on the proper tract to graduate on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requires additional description.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