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During the budget process funding for textbooks, supplies and materials for Art, Music, and Athletics are allocated to the schools on a per pupil basis using the next year’s projected enrollment. Contractual services are budgeted on the basis of continuing needs. Other expenses for BOCES, administrative expenses, debt, salary, benefits, and other district wide codes are budgeted by the business office using estimated expenses and prior year actuals.  Special Education and ELL expenses are budgeted by the PPS office using individual student projected expenses.  This is reflected in both the required staffing levels at the respective buildings as well as in any needed out-of-district program expenses. Building budgets, Transportation, Facilities, Personnel, Board of Ed, Curriculum and Instruction, are all budgeted by the respective administrator in charge, based on a review of projected expenses with reference to prior year’s actual expenses. For most departments, the 2020-21 budget was built on a zero-based budgeted process. The school buildings are provided a total amount “guide” that is on a per pupil basis with adjustments annually for enrollment changes as well as a CPI increase. Any recommendations for new programs and/or changes in staffing levels are submitted to the Deputy Superintendent.  These changes are reviewed with the District Cabinet with recommendations ultimately being made to the Board of Education. All equipment requests are accompanied by detailed information in the budget code which specifies if it is new or replacement equipment and, if replacement, a description of what it is replacing.  Salaries and benefits increases are based on contractual obligations with modifications for any known specific changes in personnel (i.e. a retirement).  From an overall budgeting perspective the major controls regarding the overall framework of the budget include: the NYS tax cap, the projected state aid (initially based on the governor’s budget and ultimately the budget approved by the legislature) as well as a sustainable inclusion of savings (fund balance and/or reserves).  We continue to make a concerted effort again to develop a budget that minimizes any variance from the actual expenditures while at the same time including monies for unknown contingencies.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utilizes a neighborhood concept and has 6, relatively small K-3 buildings.  For students who receive special services (i.e. SWD or ELL) there is some cohorting in specific buildings to provide efficient delivery of appropriate services.  For example Seneca Elementary is provides services for most of the ELL students.  Although Special Ed is in every K-3 building, there will be clusters of ICT and self-contained classes in grades/buildings in order to provide services and for inclusion purposes.  This continues at the 4-6 level (but is less pronounced) with Iroquois and Rogers Middle schools.  Iroquois educates more of the ELL students whereas Rogers has more self-contained SWD classrooms.  At 7-12 all students are housed in a single building (7/8 at Dake and 9-12 Irondequoit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